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0"/>
        <w:jc w:val="left"/>
        <w:rPr>
          <w:b/>
          <w:sz w:val="24"/>
        </w:rPr>
      </w:pPr>
      <w:r>
        <w:rPr>
          <w:rFonts w:hint="eastAsia" w:ascii="仿宋_GB2312" w:hAnsi="仿宋_GB2312" w:eastAsia="仿宋_GB2312" w:cs="仿宋_GB2312"/>
          <w:b/>
          <w:sz w:val="24"/>
        </w:rPr>
        <w:t>附件1-1</w:t>
      </w:r>
    </w:p>
    <w:p>
      <w:pPr>
        <w:spacing w:line="500" w:lineRule="exact"/>
        <w:jc w:val="center"/>
        <w:rPr>
          <w:rFonts w:hint="eastAsia" w:ascii="宋体" w:hAnsi="宋体"/>
          <w:b/>
          <w:w w:val="85"/>
          <w:sz w:val="36"/>
          <w:szCs w:val="36"/>
        </w:rPr>
      </w:pPr>
      <w:r>
        <w:rPr>
          <w:rFonts w:hint="eastAsia" w:ascii="宋体" w:hAnsi="宋体"/>
          <w:b/>
          <w:w w:val="85"/>
          <w:sz w:val="36"/>
          <w:szCs w:val="36"/>
          <w:lang w:eastAsia="zh-CN"/>
        </w:rPr>
        <w:t>2023</w:t>
      </w:r>
      <w:r>
        <w:rPr>
          <w:rFonts w:ascii="宋体" w:hAnsi="宋体"/>
          <w:b/>
          <w:w w:val="85"/>
          <w:sz w:val="36"/>
          <w:szCs w:val="36"/>
        </w:rPr>
        <w:t>年度新晃县</w:t>
      </w:r>
      <w:r>
        <w:rPr>
          <w:rFonts w:hint="eastAsia" w:ascii="宋体" w:hAnsi="宋体"/>
          <w:b/>
          <w:w w:val="85"/>
          <w:sz w:val="36"/>
          <w:szCs w:val="36"/>
          <w:lang w:val="en-US" w:eastAsia="zh-CN"/>
        </w:rPr>
        <w:t>退役军人事务局</w:t>
      </w:r>
      <w:r>
        <w:rPr>
          <w:rFonts w:ascii="宋体" w:hAnsi="宋体"/>
          <w:b/>
          <w:w w:val="85"/>
          <w:sz w:val="36"/>
          <w:szCs w:val="36"/>
        </w:rPr>
        <w:t>整体支出绩效</w:t>
      </w:r>
      <w:r>
        <w:rPr>
          <w:rFonts w:hint="eastAsia" w:ascii="宋体" w:hAnsi="宋体"/>
          <w:b/>
          <w:w w:val="85"/>
          <w:sz w:val="36"/>
          <w:szCs w:val="36"/>
        </w:rPr>
        <w:t>自评表</w:t>
      </w:r>
    </w:p>
    <w:tbl>
      <w:tblPr>
        <w:tblStyle w:val="5"/>
        <w:tblW w:w="14417"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079"/>
        <w:gridCol w:w="1179"/>
        <w:gridCol w:w="1226"/>
        <w:gridCol w:w="701"/>
        <w:gridCol w:w="4750"/>
        <w:gridCol w:w="3123"/>
        <w:gridCol w:w="1614"/>
        <w:gridCol w:w="7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8" w:hRule="atLeast"/>
          <w:tblHeader/>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一级指标</w:t>
            </w:r>
          </w:p>
        </w:tc>
        <w:tc>
          <w:tcPr>
            <w:tcW w:w="1179"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二级指标</w:t>
            </w:r>
          </w:p>
        </w:tc>
        <w:tc>
          <w:tcPr>
            <w:tcW w:w="1226"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三级指标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分值</w:t>
            </w:r>
          </w:p>
        </w:tc>
        <w:tc>
          <w:tcPr>
            <w:tcW w:w="4750"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指标内容</w:t>
            </w:r>
          </w:p>
        </w:tc>
        <w:tc>
          <w:tcPr>
            <w:tcW w:w="3123"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指标评价标</w:t>
            </w:r>
            <w:r>
              <w:rPr>
                <w:rFonts w:hint="eastAsia" w:eastAsia="楷体_GB2312"/>
              </w:rPr>
              <w:t>准</w:t>
            </w:r>
            <w:r>
              <w:rPr>
                <w:rFonts w:eastAsia="楷体_GB2312"/>
              </w:rPr>
              <w:t>及对应分值</w:t>
            </w:r>
          </w:p>
        </w:tc>
        <w:tc>
          <w:tcPr>
            <w:tcW w:w="1614"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指标实际完成情况及依据</w:t>
            </w:r>
          </w:p>
        </w:tc>
        <w:tc>
          <w:tcPr>
            <w:tcW w:w="745"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得分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投入</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14</w:t>
            </w:r>
            <w:r>
              <w:rPr>
                <w:rFonts w:eastAsia="楷体_GB2312"/>
                <w:sz w:val="18"/>
                <w:szCs w:val="18"/>
              </w:rPr>
              <w:t>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预算编制(共</w:t>
            </w:r>
            <w:r>
              <w:rPr>
                <w:rFonts w:hint="eastAsia" w:eastAsia="楷体_GB2312"/>
                <w:sz w:val="18"/>
                <w:szCs w:val="18"/>
              </w:rPr>
              <w:t>5</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整体绩效</w:t>
            </w:r>
          </w:p>
          <w:p>
            <w:pPr>
              <w:spacing w:line="300" w:lineRule="exact"/>
              <w:jc w:val="center"/>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设有整体绩效目标</w:t>
            </w:r>
            <w:r>
              <w:rPr>
                <w:rFonts w:hint="eastAsia" w:eastAsia="楷体_GB2312"/>
                <w:sz w:val="18"/>
                <w:szCs w:val="18"/>
              </w:rPr>
              <w:t>1</w:t>
            </w:r>
            <w:r>
              <w:rPr>
                <w:rFonts w:eastAsia="楷体_GB2312"/>
                <w:sz w:val="18"/>
                <w:szCs w:val="18"/>
              </w:rPr>
              <w:t>分；目标设定依据充分符合客观实际</w:t>
            </w:r>
            <w:r>
              <w:rPr>
                <w:rFonts w:hint="eastAsia" w:eastAsia="楷体_GB2312"/>
                <w:sz w:val="18"/>
                <w:szCs w:val="18"/>
              </w:rPr>
              <w:t>0.5</w:t>
            </w:r>
            <w:r>
              <w:rPr>
                <w:rFonts w:eastAsia="楷体_GB2312"/>
                <w:sz w:val="18"/>
                <w:szCs w:val="18"/>
              </w:rPr>
              <w:t>分；目标清晰、细化</w:t>
            </w:r>
            <w:r>
              <w:rPr>
                <w:rFonts w:hint="eastAsia" w:eastAsia="楷体_GB2312"/>
                <w:sz w:val="18"/>
                <w:szCs w:val="18"/>
              </w:rPr>
              <w:t>0.5</w:t>
            </w:r>
            <w:r>
              <w:rPr>
                <w:rFonts w:eastAsia="楷体_GB2312"/>
                <w:sz w:val="18"/>
                <w:szCs w:val="18"/>
              </w:rPr>
              <w:t>分；目标可衡量</w:t>
            </w:r>
            <w:r>
              <w:rPr>
                <w:rFonts w:hint="eastAsia" w:eastAsia="楷体_GB2312"/>
                <w:sz w:val="18"/>
                <w:szCs w:val="18"/>
              </w:rPr>
              <w:t>0.5</w:t>
            </w:r>
            <w:r>
              <w:rPr>
                <w:rFonts w:eastAsia="楷体_GB2312"/>
                <w:sz w:val="18"/>
                <w:szCs w:val="18"/>
              </w:rPr>
              <w:t>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设有整体绩效目标，目标充分清晰可衡量</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3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项目绩效</w:t>
            </w:r>
          </w:p>
          <w:p>
            <w:pPr>
              <w:spacing w:line="300" w:lineRule="exact"/>
              <w:jc w:val="center"/>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是否科学、合理设立了项目绩效目标；目标明确；目标细化；目标量化。</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项目均设有绩效目标</w:t>
            </w:r>
            <w:r>
              <w:rPr>
                <w:rFonts w:hint="eastAsia" w:eastAsia="楷体_GB2312"/>
                <w:sz w:val="18"/>
                <w:szCs w:val="18"/>
              </w:rPr>
              <w:t>0.5</w:t>
            </w:r>
            <w:r>
              <w:rPr>
                <w:rFonts w:eastAsia="楷体_GB2312"/>
                <w:sz w:val="18"/>
                <w:szCs w:val="18"/>
              </w:rPr>
              <w:t>分；目标科学合理</w:t>
            </w:r>
            <w:r>
              <w:rPr>
                <w:rFonts w:hint="eastAsia" w:eastAsia="楷体_GB2312"/>
                <w:sz w:val="18"/>
                <w:szCs w:val="18"/>
              </w:rPr>
              <w:t>0.5</w:t>
            </w:r>
            <w:r>
              <w:rPr>
                <w:rFonts w:eastAsia="楷体_GB2312"/>
                <w:sz w:val="18"/>
                <w:szCs w:val="18"/>
              </w:rPr>
              <w:t>分；目标明确</w:t>
            </w:r>
            <w:r>
              <w:rPr>
                <w:rFonts w:hint="eastAsia" w:eastAsia="楷体_GB2312"/>
                <w:sz w:val="18"/>
                <w:szCs w:val="18"/>
              </w:rPr>
              <w:t>0.5</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目标细化</w:t>
            </w:r>
            <w:r>
              <w:rPr>
                <w:rFonts w:hint="eastAsia" w:eastAsia="楷体_GB2312"/>
                <w:sz w:val="18"/>
                <w:szCs w:val="18"/>
              </w:rPr>
              <w:t>0.5</w:t>
            </w:r>
            <w:r>
              <w:rPr>
                <w:rFonts w:eastAsia="楷体_GB2312"/>
                <w:sz w:val="18"/>
                <w:szCs w:val="18"/>
              </w:rPr>
              <w:t>分；目标量化</w:t>
            </w:r>
            <w:r>
              <w:rPr>
                <w:rFonts w:hint="eastAsia" w:eastAsia="楷体_GB2312"/>
                <w:sz w:val="18"/>
                <w:szCs w:val="18"/>
              </w:rPr>
              <w:t>0.5</w:t>
            </w:r>
            <w:r>
              <w:rPr>
                <w:rFonts w:eastAsia="楷体_GB2312"/>
                <w:sz w:val="18"/>
                <w:szCs w:val="18"/>
              </w:rPr>
              <w:t>分。</w:t>
            </w:r>
          </w:p>
        </w:tc>
        <w:tc>
          <w:tcPr>
            <w:tcW w:w="1614" w:type="dxa"/>
            <w:noWrap w:val="0"/>
            <w:tcMar>
              <w:top w:w="0" w:type="dxa"/>
              <w:left w:w="105" w:type="dxa"/>
              <w:bottom w:w="0" w:type="dxa"/>
              <w:right w:w="105" w:type="dxa"/>
            </w:tcMar>
            <w:vAlign w:val="center"/>
          </w:tcPr>
          <w:p>
            <w:pPr>
              <w:jc w:val="center"/>
              <w:rPr>
                <w:rFonts w:hint="eastAsia" w:eastAsia="楷体_GB2312"/>
                <w:sz w:val="18"/>
                <w:szCs w:val="18"/>
                <w:lang w:eastAsia="zh-CN"/>
              </w:rPr>
            </w:pPr>
            <w:r>
              <w:rPr>
                <w:rFonts w:hint="eastAsia" w:eastAsia="楷体_GB2312"/>
                <w:sz w:val="18"/>
                <w:szCs w:val="18"/>
                <w:lang w:eastAsia="zh-CN"/>
              </w:rPr>
              <w:t>项目均有绩效目标，合理明确量化</w:t>
            </w:r>
          </w:p>
          <w:p>
            <w:pPr>
              <w:pStyle w:val="2"/>
              <w:rPr>
                <w:rFonts w:hint="eastAsia"/>
                <w:lang w:eastAsia="zh-CN"/>
              </w:rPr>
            </w:pP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527"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预算配置(共</w:t>
            </w:r>
            <w:r>
              <w:rPr>
                <w:rFonts w:hint="eastAsia" w:eastAsia="楷体_GB2312"/>
                <w:sz w:val="18"/>
                <w:szCs w:val="18"/>
              </w:rPr>
              <w:t>9</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在职人员</w:t>
            </w:r>
          </w:p>
          <w:p>
            <w:pPr>
              <w:spacing w:line="300" w:lineRule="exact"/>
              <w:jc w:val="center"/>
              <w:rPr>
                <w:rFonts w:eastAsia="楷体_GB2312"/>
                <w:sz w:val="18"/>
                <w:szCs w:val="18"/>
              </w:rPr>
            </w:pPr>
            <w:r>
              <w:rPr>
                <w:rFonts w:eastAsia="楷体_GB2312"/>
                <w:sz w:val="18"/>
                <w:szCs w:val="18"/>
              </w:rPr>
              <w:t>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在职人员控制率=[在职人员数/编制数]×100%</w:t>
            </w:r>
          </w:p>
          <w:p>
            <w:pPr>
              <w:spacing w:line="300" w:lineRule="exact"/>
              <w:jc w:val="left"/>
              <w:rPr>
                <w:rFonts w:eastAsia="楷体_GB2312"/>
                <w:sz w:val="18"/>
                <w:szCs w:val="18"/>
              </w:rPr>
            </w:pPr>
            <w:r>
              <w:rPr>
                <w:rFonts w:eastAsia="楷体_GB2312"/>
                <w:sz w:val="18"/>
                <w:szCs w:val="18"/>
              </w:rPr>
              <w:t>在职人员数：部门实际在职人数，以财政确定的部门决算编制口径为准，结合工资发放表上的年平均人数。</w:t>
            </w:r>
          </w:p>
          <w:p>
            <w:pPr>
              <w:spacing w:line="300" w:lineRule="exact"/>
              <w:jc w:val="left"/>
              <w:rPr>
                <w:rFonts w:eastAsia="楷体_GB2312"/>
                <w:sz w:val="18"/>
                <w:szCs w:val="18"/>
              </w:rPr>
            </w:pPr>
            <w:r>
              <w:rPr>
                <w:rFonts w:eastAsia="楷体_GB2312"/>
                <w:sz w:val="18"/>
                <w:szCs w:val="18"/>
              </w:rPr>
              <w:t>编制数：机构编制部门核定批复的部门的人员编制数(含临时人员)。</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eastAsia="zh-CN"/>
              </w:rPr>
              <w:t>在职人数</w:t>
            </w:r>
            <w:r>
              <w:rPr>
                <w:rFonts w:hint="eastAsia" w:eastAsia="楷体_GB2312"/>
                <w:sz w:val="18"/>
                <w:szCs w:val="18"/>
                <w:lang w:val="en-US" w:eastAsia="zh-CN"/>
              </w:rPr>
              <w:t>19人/编制人数21人=90.48%</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0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三公经费</w:t>
            </w:r>
          </w:p>
          <w:p>
            <w:pPr>
              <w:spacing w:line="300" w:lineRule="exact"/>
              <w:jc w:val="center"/>
              <w:rPr>
                <w:rFonts w:eastAsia="楷体_GB2312"/>
                <w:sz w:val="18"/>
                <w:szCs w:val="18"/>
              </w:rPr>
            </w:pPr>
            <w:r>
              <w:rPr>
                <w:rFonts w:eastAsia="楷体_GB2312"/>
                <w:sz w:val="18"/>
                <w:szCs w:val="18"/>
              </w:rPr>
              <w:t>变动率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“三公经费”变动率=[本年度“三公经费”预算总额/上年度“三公经费”预算总额] ×100%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结果≤100%，得3分；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jc w:val="center"/>
              <w:rPr>
                <w:rFonts w:hint="eastAsia" w:eastAsia="楷体_GB2312"/>
                <w:sz w:val="18"/>
                <w:szCs w:val="18"/>
                <w:lang w:eastAsia="zh-CN"/>
              </w:rPr>
            </w:pPr>
            <w:r>
              <w:rPr>
                <w:rFonts w:eastAsia="楷体_GB2312"/>
                <w:sz w:val="18"/>
                <w:szCs w:val="18"/>
              </w:rPr>
              <w:t>“三公经费”</w:t>
            </w:r>
            <w:r>
              <w:rPr>
                <w:rFonts w:hint="eastAsia" w:eastAsia="楷体_GB2312"/>
                <w:sz w:val="18"/>
                <w:szCs w:val="18"/>
                <w:lang w:eastAsia="zh-CN"/>
              </w:rPr>
              <w:t>预算与上年度一致</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728"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重点项目预算保障率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重点项目预算保障率=（重点项目预算/项目总预算）×100%。</w:t>
            </w:r>
          </w:p>
          <w:p>
            <w:pPr>
              <w:spacing w:line="300" w:lineRule="exact"/>
              <w:jc w:val="left"/>
              <w:rPr>
                <w:rFonts w:eastAsia="楷体_GB2312"/>
                <w:sz w:val="18"/>
                <w:szCs w:val="18"/>
              </w:rPr>
            </w:pPr>
            <w:r>
              <w:rPr>
                <w:rFonts w:eastAsia="楷体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结果≥80%，得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80%＞结果≥60%，得2分；</w:t>
            </w:r>
          </w:p>
          <w:p>
            <w:pPr>
              <w:spacing w:line="300" w:lineRule="exact"/>
              <w:jc w:val="left"/>
              <w:rPr>
                <w:rFonts w:eastAsia="楷体_GB2312"/>
                <w:sz w:val="18"/>
                <w:szCs w:val="18"/>
              </w:rPr>
            </w:pPr>
            <w:r>
              <w:rPr>
                <w:rFonts w:eastAsia="楷体_GB2312"/>
                <w:sz w:val="18"/>
                <w:szCs w:val="18"/>
              </w:rPr>
              <w:t>结果＜60%，得0分。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1521.34/1735.09*100%=87.68%</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79"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过程</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26</w:t>
            </w:r>
            <w:r>
              <w:rPr>
                <w:rFonts w:eastAsia="楷体_GB2312"/>
                <w:sz w:val="18"/>
                <w:szCs w:val="18"/>
              </w:rPr>
              <w:t>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预算执行（1</w:t>
            </w:r>
            <w:r>
              <w:rPr>
                <w:rFonts w:hint="eastAsia" w:eastAsia="楷体_GB2312"/>
                <w:sz w:val="18"/>
                <w:szCs w:val="18"/>
              </w:rPr>
              <w:t>2</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项目预算执行率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项目预算执行率=[项目预算执行数/项目预算]×100%。</w:t>
            </w:r>
          </w:p>
          <w:p>
            <w:pPr>
              <w:spacing w:line="300" w:lineRule="exact"/>
              <w:jc w:val="left"/>
              <w:rPr>
                <w:rFonts w:eastAsia="楷体_GB2312"/>
                <w:sz w:val="18"/>
                <w:szCs w:val="18"/>
              </w:rPr>
            </w:pPr>
            <w:r>
              <w:rPr>
                <w:rFonts w:eastAsia="楷体_GB2312"/>
                <w:sz w:val="18"/>
                <w:szCs w:val="18"/>
              </w:rPr>
              <w:t>项目预算执行数：部门本年度实际执行的项目预算。</w:t>
            </w:r>
          </w:p>
          <w:p>
            <w:pPr>
              <w:spacing w:line="300" w:lineRule="exact"/>
              <w:jc w:val="left"/>
              <w:rPr>
                <w:rFonts w:eastAsia="楷体_GB2312"/>
                <w:sz w:val="18"/>
                <w:szCs w:val="18"/>
              </w:rPr>
            </w:pPr>
            <w:r>
              <w:rPr>
                <w:rFonts w:eastAsia="楷体_GB2312"/>
                <w:sz w:val="18"/>
                <w:szCs w:val="18"/>
              </w:rPr>
              <w:t>项目预算数：财政部门批复的本年度部门项目预算。</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95%≤结果≤100%，得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90%≤结果＜95%，得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80%≤结果＜90%，得1分；</w:t>
            </w:r>
          </w:p>
          <w:p>
            <w:pPr>
              <w:spacing w:line="300" w:lineRule="exact"/>
              <w:jc w:val="left"/>
              <w:rPr>
                <w:rFonts w:eastAsia="楷体_GB2312"/>
                <w:spacing w:val="-20"/>
                <w:sz w:val="18"/>
                <w:szCs w:val="18"/>
              </w:rPr>
            </w:pPr>
            <w:r>
              <w:rPr>
                <w:rFonts w:eastAsia="楷体_GB2312"/>
                <w:sz w:val="18"/>
                <w:szCs w:val="18"/>
              </w:rPr>
              <w:t>结果＜80%，得0分。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1906.33/2009.13*100%=94.88%</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9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预算</w:t>
            </w:r>
          </w:p>
          <w:p>
            <w:pPr>
              <w:spacing w:line="300" w:lineRule="exact"/>
              <w:jc w:val="center"/>
              <w:rPr>
                <w:rFonts w:eastAsia="楷体_GB2312"/>
                <w:sz w:val="18"/>
                <w:szCs w:val="18"/>
              </w:rPr>
            </w:pPr>
            <w:r>
              <w:rPr>
                <w:rFonts w:eastAsia="楷体_GB2312"/>
                <w:sz w:val="18"/>
                <w:szCs w:val="18"/>
              </w:rPr>
              <w:t>调整率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预算调整率=[预算调整数/预算数]×100%</w:t>
            </w:r>
          </w:p>
          <w:p>
            <w:pPr>
              <w:spacing w:line="300" w:lineRule="exact"/>
              <w:jc w:val="left"/>
              <w:rPr>
                <w:rFonts w:eastAsia="楷体_GB2312"/>
                <w:sz w:val="18"/>
                <w:szCs w:val="18"/>
              </w:rPr>
            </w:pPr>
            <w:r>
              <w:rPr>
                <w:rFonts w:eastAsia="楷体_GB2312"/>
                <w:sz w:val="18"/>
                <w:szCs w:val="18"/>
              </w:rPr>
              <w:t>预算调整数：部门在本年度内涉及预算的追加、追减或结构调整的资金总和（因落实国家政策、发生不可抗力、上级部门或党委政府临时交办而产生的调整除外）。</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结果≤5%，得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5%＜结果≤10%，得1分；</w:t>
            </w:r>
          </w:p>
          <w:p>
            <w:pPr>
              <w:spacing w:line="300" w:lineRule="exact"/>
              <w:jc w:val="left"/>
              <w:rPr>
                <w:rFonts w:eastAsia="楷体_GB2312"/>
                <w:sz w:val="18"/>
                <w:szCs w:val="18"/>
              </w:rPr>
            </w:pPr>
            <w:r>
              <w:rPr>
                <w:rFonts w:eastAsia="楷体_GB2312"/>
                <w:sz w:val="18"/>
                <w:szCs w:val="18"/>
              </w:rPr>
              <w:t>结果＞10%，得0分。</w:t>
            </w:r>
          </w:p>
        </w:tc>
        <w:tc>
          <w:tcPr>
            <w:tcW w:w="1614" w:type="dxa"/>
            <w:noWrap w:val="0"/>
            <w:tcMar>
              <w:top w:w="0" w:type="dxa"/>
              <w:left w:w="105" w:type="dxa"/>
              <w:bottom w:w="0" w:type="dxa"/>
              <w:right w:w="105" w:type="dxa"/>
            </w:tcMar>
            <w:vAlign w:val="center"/>
          </w:tcPr>
          <w:p>
            <w:pPr>
              <w:ind w:right="238" w:rightChars="119"/>
              <w:jc w:val="center"/>
              <w:rPr>
                <w:rFonts w:hint="default" w:eastAsia="楷体_GB2312"/>
                <w:sz w:val="18"/>
                <w:szCs w:val="18"/>
                <w:lang w:val="en-US" w:eastAsia="zh-CN"/>
              </w:rPr>
            </w:pPr>
            <w:r>
              <w:rPr>
                <w:rFonts w:hint="eastAsia" w:eastAsia="楷体_GB2312"/>
                <w:sz w:val="18"/>
                <w:szCs w:val="18"/>
                <w:lang w:val="en-US" w:eastAsia="zh-CN"/>
              </w:rPr>
              <w:t>72.44/2326.11*100%=3.11%</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4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公用经费控制率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公用经费控制率=[公用经费实际支出总额/公用经费预算安排总额]×100%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3</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64.55/50.49*100%=127%</w:t>
            </w:r>
          </w:p>
        </w:tc>
        <w:tc>
          <w:tcPr>
            <w:tcW w:w="745"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7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pacing w:val="-20"/>
                <w:sz w:val="18"/>
                <w:szCs w:val="18"/>
              </w:rPr>
            </w:pPr>
            <w:r>
              <w:rPr>
                <w:rFonts w:eastAsia="楷体_GB2312"/>
                <w:spacing w:val="-20"/>
                <w:sz w:val="18"/>
                <w:szCs w:val="18"/>
              </w:rPr>
              <w:t>“</w:t>
            </w:r>
            <w:r>
              <w:rPr>
                <w:rFonts w:eastAsia="楷体_GB2312"/>
                <w:sz w:val="18"/>
                <w:szCs w:val="18"/>
              </w:rPr>
              <w:t>三公经费”控制率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“三公经费”控制率=[“三公经费”实际支出总额/“三公经费”预算安排总额]×100%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结果≤100%，得</w:t>
            </w:r>
            <w:r>
              <w:rPr>
                <w:rFonts w:hint="eastAsia" w:eastAsia="楷体_GB2312"/>
                <w:sz w:val="18"/>
                <w:szCs w:val="18"/>
              </w:rPr>
              <w:t>2</w:t>
            </w:r>
            <w:r>
              <w:rPr>
                <w:rFonts w:eastAsia="楷体_GB2312"/>
                <w:sz w:val="18"/>
                <w:szCs w:val="18"/>
              </w:rPr>
              <w:t>分；</w:t>
            </w:r>
          </w:p>
          <w:p>
            <w:pPr>
              <w:spacing w:line="300" w:lineRule="exact"/>
              <w:jc w:val="left"/>
              <w:rPr>
                <w:rFonts w:eastAsia="楷体_GB2312"/>
                <w:sz w:val="18"/>
                <w:szCs w:val="18"/>
              </w:rPr>
            </w:pPr>
            <w:r>
              <w:rPr>
                <w:rFonts w:eastAsia="楷体_GB2312"/>
                <w:sz w:val="18"/>
                <w:szCs w:val="18"/>
              </w:rPr>
              <w:t>结果＞100%，得0分。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val="en-US" w:eastAsia="zh-CN"/>
              </w:rPr>
              <w:t>0.38/3*100%=12.67%</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63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政府采购</w:t>
            </w:r>
          </w:p>
          <w:p>
            <w:pPr>
              <w:spacing w:line="300" w:lineRule="exact"/>
              <w:jc w:val="center"/>
              <w:rPr>
                <w:rFonts w:eastAsia="楷体_GB2312"/>
                <w:sz w:val="18"/>
                <w:szCs w:val="18"/>
              </w:rPr>
            </w:pPr>
            <w:r>
              <w:rPr>
                <w:rFonts w:eastAsia="楷体_GB2312"/>
                <w:sz w:val="18"/>
                <w:szCs w:val="18"/>
              </w:rPr>
              <w:t>完成率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政府采购完成率=（政府采购完成项目数/政府采购预算项目数）×100%；</w:t>
            </w:r>
          </w:p>
          <w:p>
            <w:pPr>
              <w:spacing w:line="300" w:lineRule="exact"/>
              <w:jc w:val="left"/>
              <w:rPr>
                <w:rFonts w:eastAsia="楷体_GB2312"/>
                <w:sz w:val="18"/>
                <w:szCs w:val="18"/>
              </w:rPr>
            </w:pPr>
            <w:r>
              <w:rPr>
                <w:rFonts w:eastAsia="楷体_GB2312"/>
                <w:sz w:val="18"/>
                <w:szCs w:val="18"/>
              </w:rPr>
              <w:t>政府采购预算项目：采购机关根据事业发展计划和行政任务编制的、并经过规定程序批准的年度政府采购计划项目。</w:t>
            </w:r>
          </w:p>
        </w:tc>
        <w:tc>
          <w:tcPr>
            <w:tcW w:w="3123" w:type="dxa"/>
            <w:noWrap w:val="0"/>
            <w:tcMar>
              <w:top w:w="0" w:type="dxa"/>
              <w:left w:w="105" w:type="dxa"/>
              <w:bottom w:w="0" w:type="dxa"/>
              <w:right w:w="105" w:type="dxa"/>
            </w:tcMar>
            <w:vAlign w:val="center"/>
          </w:tcPr>
          <w:p>
            <w:pPr>
              <w:spacing w:line="300" w:lineRule="exact"/>
              <w:jc w:val="left"/>
              <w:rPr>
                <w:rFonts w:hint="eastAsia" w:eastAsia="楷体_GB2312"/>
                <w:sz w:val="18"/>
                <w:szCs w:val="18"/>
              </w:rPr>
            </w:pPr>
            <w:r>
              <w:rPr>
                <w:rFonts w:eastAsia="楷体_GB2312"/>
                <w:sz w:val="18"/>
                <w:szCs w:val="18"/>
              </w:rPr>
              <w:t>完成率</w:t>
            </w:r>
            <w:r>
              <w:rPr>
                <w:rFonts w:hint="eastAsia" w:ascii="宋体" w:hAnsi="宋体" w:cs="宋体"/>
                <w:sz w:val="18"/>
                <w:szCs w:val="18"/>
              </w:rPr>
              <w:t>≧</w:t>
            </w:r>
            <w:r>
              <w:rPr>
                <w:rFonts w:hint="eastAsia" w:eastAsia="楷体_GB2312"/>
                <w:sz w:val="18"/>
                <w:szCs w:val="18"/>
              </w:rPr>
              <w:t>8</w:t>
            </w:r>
            <w:r>
              <w:rPr>
                <w:rFonts w:eastAsia="楷体_GB2312"/>
                <w:sz w:val="18"/>
                <w:szCs w:val="18"/>
              </w:rPr>
              <w:t>0%，得</w:t>
            </w:r>
            <w:r>
              <w:rPr>
                <w:rFonts w:hint="eastAsia" w:eastAsia="楷体_GB2312"/>
                <w:sz w:val="18"/>
                <w:szCs w:val="18"/>
              </w:rPr>
              <w:t>2</w:t>
            </w:r>
            <w:r>
              <w:rPr>
                <w:rFonts w:eastAsia="楷体_GB2312"/>
                <w:sz w:val="18"/>
                <w:szCs w:val="18"/>
              </w:rPr>
              <w:t>分</w:t>
            </w:r>
            <w:r>
              <w:rPr>
                <w:rFonts w:hint="eastAsia" w:eastAsia="楷体_GB2312"/>
                <w:sz w:val="18"/>
                <w:szCs w:val="18"/>
              </w:rPr>
              <w:t>；</w:t>
            </w:r>
          </w:p>
          <w:p>
            <w:pPr>
              <w:spacing w:line="300" w:lineRule="exact"/>
              <w:jc w:val="left"/>
              <w:rPr>
                <w:rFonts w:eastAsia="楷体_GB2312"/>
                <w:sz w:val="18"/>
                <w:szCs w:val="18"/>
              </w:rPr>
            </w:pPr>
            <w:r>
              <w:rPr>
                <w:rFonts w:hint="eastAsia" w:eastAsia="楷体_GB2312"/>
                <w:sz w:val="18"/>
                <w:szCs w:val="18"/>
              </w:rPr>
              <w:t>80%</w:t>
            </w:r>
            <w:r>
              <w:rPr>
                <w:rFonts w:eastAsia="楷体_GB2312"/>
                <w:sz w:val="18"/>
                <w:szCs w:val="18"/>
              </w:rPr>
              <w:t>&gt;完成率</w:t>
            </w:r>
            <w:r>
              <w:rPr>
                <w:rFonts w:hint="eastAsia" w:eastAsia="楷体_GB2312"/>
                <w:sz w:val="18"/>
                <w:szCs w:val="18"/>
              </w:rPr>
              <w:t>≧60%，得1分；</w:t>
            </w:r>
          </w:p>
          <w:p>
            <w:pPr>
              <w:spacing w:line="300" w:lineRule="exact"/>
              <w:jc w:val="left"/>
              <w:rPr>
                <w:rFonts w:eastAsia="楷体_GB2312"/>
                <w:sz w:val="18"/>
                <w:szCs w:val="18"/>
              </w:rPr>
            </w:pPr>
            <w:r>
              <w:rPr>
                <w:rFonts w:eastAsia="楷体_GB2312"/>
                <w:sz w:val="18"/>
                <w:szCs w:val="18"/>
              </w:rPr>
              <w:t>完成率＜</w:t>
            </w:r>
            <w:r>
              <w:rPr>
                <w:rFonts w:hint="eastAsia" w:eastAsia="楷体_GB2312"/>
                <w:sz w:val="18"/>
                <w:szCs w:val="18"/>
              </w:rPr>
              <w:t>6</w:t>
            </w:r>
            <w:r>
              <w:rPr>
                <w:rFonts w:eastAsia="楷体_GB2312"/>
                <w:sz w:val="18"/>
                <w:szCs w:val="18"/>
              </w:rPr>
              <w:t>0%，得0分。</w:t>
            </w:r>
          </w:p>
        </w:tc>
        <w:tc>
          <w:tcPr>
            <w:tcW w:w="1614" w:type="dxa"/>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lang w:eastAsia="zh-CN"/>
              </w:rPr>
              <w:t>无政府采购项目</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7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w:t>
            </w:r>
          </w:p>
          <w:p>
            <w:pPr>
              <w:spacing w:before="100" w:beforeAutospacing="1" w:after="100" w:afterAutospacing="1"/>
              <w:jc w:val="center"/>
              <w:rPr>
                <w:rFonts w:eastAsia="楷体_GB2312"/>
                <w:sz w:val="18"/>
                <w:szCs w:val="18"/>
              </w:rPr>
            </w:pPr>
            <w:r>
              <w:rPr>
                <w:rFonts w:eastAsia="楷体_GB2312"/>
                <w:sz w:val="18"/>
                <w:szCs w:val="18"/>
              </w:rPr>
              <w:t>管理（</w:t>
            </w:r>
            <w:r>
              <w:rPr>
                <w:rFonts w:hint="eastAsia" w:eastAsia="楷体_GB2312"/>
                <w:sz w:val="18"/>
                <w:szCs w:val="18"/>
              </w:rPr>
              <w:t>9</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280" w:lineRule="exact"/>
              <w:jc w:val="center"/>
              <w:rPr>
                <w:rFonts w:eastAsia="楷体_GB2312"/>
                <w:sz w:val="18"/>
                <w:szCs w:val="18"/>
              </w:rPr>
            </w:pPr>
            <w:r>
              <w:rPr>
                <w:rFonts w:eastAsia="楷体_GB2312"/>
                <w:sz w:val="18"/>
                <w:szCs w:val="18"/>
              </w:rPr>
              <w:t>资金管理</w:t>
            </w:r>
          </w:p>
          <w:p>
            <w:pPr>
              <w:spacing w:line="280" w:lineRule="exact"/>
              <w:jc w:val="center"/>
              <w:rPr>
                <w:rFonts w:eastAsia="楷体_GB2312"/>
                <w:sz w:val="18"/>
                <w:szCs w:val="18"/>
              </w:rPr>
            </w:pPr>
            <w:r>
              <w:rPr>
                <w:rFonts w:eastAsia="楷体_GB2312"/>
                <w:sz w:val="18"/>
                <w:szCs w:val="18"/>
              </w:rPr>
              <w:t>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制定预算资金管理办法、内部财务管理制度、内控制度、会计核算制度等是否完整，是否执行到位。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每发现一项问题，扣1分，扣完为止。</w:t>
            </w:r>
          </w:p>
        </w:tc>
        <w:tc>
          <w:tcPr>
            <w:tcW w:w="1614" w:type="dxa"/>
            <w:noWrap w:val="0"/>
            <w:tcMar>
              <w:top w:w="0" w:type="dxa"/>
              <w:left w:w="105" w:type="dxa"/>
              <w:bottom w:w="0" w:type="dxa"/>
              <w:right w:w="105" w:type="dxa"/>
            </w:tcMar>
            <w:vAlign w:val="center"/>
          </w:tcPr>
          <w:p>
            <w:pPr>
              <w:ind w:left="1" w:leftChars="0"/>
              <w:jc w:val="both"/>
              <w:rPr>
                <w:rFonts w:hint="eastAsia" w:ascii="Times New Roman" w:hAnsi="Times New Roman" w:eastAsia="楷体_GB2312" w:cs="Times New Roman"/>
                <w:sz w:val="18"/>
                <w:szCs w:val="18"/>
                <w:lang w:val="en-US" w:eastAsia="zh-CN" w:bidi="ar-SA"/>
              </w:rPr>
            </w:pPr>
            <w:r>
              <w:rPr>
                <w:rFonts w:hint="eastAsia" w:eastAsia="楷体_GB2312"/>
                <w:sz w:val="18"/>
                <w:szCs w:val="18"/>
                <w:lang w:val="en-US" w:eastAsia="zh-CN"/>
              </w:rPr>
              <w:t>制度完善并执行</w:t>
            </w:r>
          </w:p>
        </w:tc>
        <w:tc>
          <w:tcPr>
            <w:tcW w:w="745" w:type="dxa"/>
            <w:vMerge w:val="restart"/>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027"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合规性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合规率100%得</w:t>
            </w:r>
            <w:r>
              <w:rPr>
                <w:rFonts w:hint="eastAsia" w:eastAsia="楷体_GB2312"/>
                <w:sz w:val="18"/>
                <w:szCs w:val="18"/>
              </w:rPr>
              <w:t>3</w:t>
            </w:r>
            <w:r>
              <w:rPr>
                <w:rFonts w:eastAsia="楷体_GB2312"/>
                <w:sz w:val="18"/>
                <w:szCs w:val="18"/>
              </w:rPr>
              <w:t>分；合规率每下降1%，扣0.5分，扣完为止。</w:t>
            </w:r>
          </w:p>
        </w:tc>
        <w:tc>
          <w:tcPr>
            <w:tcW w:w="1614" w:type="dxa"/>
            <w:noWrap w:val="0"/>
            <w:tcMar>
              <w:top w:w="0" w:type="dxa"/>
              <w:left w:w="105" w:type="dxa"/>
              <w:bottom w:w="0" w:type="dxa"/>
              <w:right w:w="105" w:type="dxa"/>
            </w:tcMar>
            <w:vAlign w:val="center"/>
          </w:tcPr>
          <w:p>
            <w:pPr>
              <w:ind w:left="0" w:leftChars="0" w:firstLine="0" w:firstLineChars="0"/>
              <w:jc w:val="both"/>
              <w:rPr>
                <w:rFonts w:hint="eastAsia" w:ascii="Times New Roman" w:hAnsi="Times New Roman" w:eastAsia="楷体_GB2312" w:cs="Times New Roman"/>
                <w:sz w:val="18"/>
                <w:szCs w:val="18"/>
                <w:lang w:val="en-US" w:eastAsia="zh-CN" w:bidi="ar-SA"/>
              </w:rPr>
            </w:pPr>
            <w:r>
              <w:rPr>
                <w:rFonts w:hint="eastAsia" w:eastAsia="楷体_GB2312"/>
                <w:sz w:val="18"/>
                <w:szCs w:val="18"/>
                <w:lang w:val="en-US" w:eastAsia="zh-CN"/>
              </w:rPr>
              <w:t>资金使用符合预算财务管理制度</w:t>
            </w:r>
          </w:p>
        </w:tc>
        <w:tc>
          <w:tcPr>
            <w:tcW w:w="745" w:type="dxa"/>
            <w:vMerge w:val="continue"/>
            <w:noWrap w:val="0"/>
            <w:vAlign w:val="center"/>
          </w:tcPr>
          <w:p>
            <w:pPr>
              <w:jc w:val="center"/>
              <w:rPr>
                <w:rFonts w:eastAsia="楷体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5"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合理性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部门预算资金使用是否与批准的预算及其预算内容相符合。</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相符率100%得2分；相符率每下降1%，扣0.5分，扣完为止。</w:t>
            </w:r>
          </w:p>
        </w:tc>
        <w:tc>
          <w:tcPr>
            <w:tcW w:w="1614" w:type="dxa"/>
            <w:noWrap w:val="0"/>
            <w:tcMar>
              <w:top w:w="0" w:type="dxa"/>
              <w:left w:w="105" w:type="dxa"/>
              <w:bottom w:w="0" w:type="dxa"/>
              <w:right w:w="105" w:type="dxa"/>
            </w:tcMar>
            <w:vAlign w:val="center"/>
          </w:tcPr>
          <w:p>
            <w:pPr>
              <w:ind w:left="1" w:leftChars="0"/>
              <w:jc w:val="center"/>
              <w:rPr>
                <w:rFonts w:eastAsia="楷体_GB2312"/>
                <w:sz w:val="18"/>
                <w:szCs w:val="18"/>
              </w:rPr>
            </w:pPr>
            <w:r>
              <w:rPr>
                <w:rFonts w:hint="eastAsia" w:eastAsia="楷体_GB2312"/>
                <w:sz w:val="18"/>
                <w:szCs w:val="18"/>
                <w:lang w:val="en-US" w:eastAsia="zh-CN"/>
              </w:rPr>
              <w:t>相符</w:t>
            </w:r>
          </w:p>
        </w:tc>
        <w:tc>
          <w:tcPr>
            <w:tcW w:w="745" w:type="dxa"/>
            <w:noWrap w:val="0"/>
            <w:tcMar>
              <w:top w:w="0" w:type="dxa"/>
              <w:left w:w="105" w:type="dxa"/>
              <w:bottom w:w="0" w:type="dxa"/>
              <w:right w:w="105" w:type="dxa"/>
            </w:tcMar>
            <w:vAlign w:val="center"/>
          </w:tcPr>
          <w:p>
            <w:pPr>
              <w:ind w:left="1" w:leftChars="0"/>
              <w:jc w:val="center"/>
              <w:rPr>
                <w:rFonts w:eastAsia="楷体_GB2312"/>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399"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整改</w:t>
            </w:r>
          </w:p>
          <w:p>
            <w:pPr>
              <w:spacing w:line="300" w:lineRule="exact"/>
              <w:jc w:val="center"/>
              <w:rPr>
                <w:rFonts w:eastAsia="楷体_GB2312"/>
                <w:sz w:val="18"/>
                <w:szCs w:val="18"/>
              </w:rPr>
            </w:pPr>
            <w:r>
              <w:rPr>
                <w:rFonts w:eastAsia="楷体_GB2312"/>
                <w:sz w:val="18"/>
                <w:szCs w:val="18"/>
              </w:rPr>
              <w:t>落实</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是否对近三年内审计、财政等部门各项检查中、绩效评价发现违法违规问题已经进行有效整改。</w:t>
            </w:r>
          </w:p>
        </w:tc>
        <w:tc>
          <w:tcPr>
            <w:tcW w:w="3123" w:type="dxa"/>
            <w:noWrap w:val="0"/>
            <w:tcMar>
              <w:top w:w="0" w:type="dxa"/>
              <w:left w:w="105" w:type="dxa"/>
              <w:bottom w:w="0" w:type="dxa"/>
              <w:right w:w="105" w:type="dxa"/>
            </w:tcMar>
            <w:vAlign w:val="center"/>
          </w:tcPr>
          <w:p>
            <w:pPr>
              <w:spacing w:line="300" w:lineRule="exact"/>
              <w:jc w:val="left"/>
              <w:rPr>
                <w:rFonts w:eastAsia="楷体_GB2312"/>
                <w:spacing w:val="-20"/>
                <w:sz w:val="18"/>
                <w:szCs w:val="18"/>
              </w:rPr>
            </w:pPr>
            <w:r>
              <w:rPr>
                <w:rFonts w:eastAsia="楷体_GB2312"/>
                <w:sz w:val="18"/>
                <w:szCs w:val="18"/>
              </w:rPr>
              <w:t>没发现违法违规问题或发现违法违纪行为并积极制定措施全部整改的，得</w:t>
            </w:r>
            <w:r>
              <w:rPr>
                <w:rFonts w:hint="eastAsia" w:eastAsia="楷体_GB2312"/>
                <w:sz w:val="18"/>
                <w:szCs w:val="18"/>
              </w:rPr>
              <w:t>2</w:t>
            </w:r>
            <w:r>
              <w:rPr>
                <w:rFonts w:eastAsia="楷体_GB2312"/>
                <w:sz w:val="18"/>
                <w:szCs w:val="18"/>
              </w:rPr>
              <w:t>分；部分整改的，视整改情况得</w:t>
            </w:r>
            <w:r>
              <w:rPr>
                <w:rFonts w:hint="eastAsia" w:eastAsia="楷体_GB2312"/>
                <w:sz w:val="18"/>
                <w:szCs w:val="18"/>
              </w:rPr>
              <w:t>0.5至1</w:t>
            </w:r>
            <w:r>
              <w:rPr>
                <w:rFonts w:eastAsia="楷体_GB2312"/>
                <w:sz w:val="18"/>
                <w:szCs w:val="18"/>
              </w:rPr>
              <w:t>分；未整改的，得0分。</w:t>
            </w:r>
          </w:p>
        </w:tc>
        <w:tc>
          <w:tcPr>
            <w:tcW w:w="1614" w:type="dxa"/>
            <w:noWrap w:val="0"/>
            <w:tcMar>
              <w:top w:w="0" w:type="dxa"/>
              <w:left w:w="105" w:type="dxa"/>
              <w:bottom w:w="0" w:type="dxa"/>
              <w:right w:w="105" w:type="dxa"/>
            </w:tcMar>
            <w:vAlign w:val="center"/>
          </w:tcPr>
          <w:p>
            <w:pPr>
              <w:ind w:left="1" w:leftChars="0"/>
              <w:jc w:val="center"/>
              <w:rPr>
                <w:rFonts w:eastAsia="楷体_GB2312"/>
                <w:sz w:val="18"/>
                <w:szCs w:val="18"/>
              </w:rPr>
            </w:pPr>
            <w:r>
              <w:rPr>
                <w:rFonts w:hint="eastAsia" w:eastAsia="楷体_GB2312"/>
                <w:sz w:val="18"/>
                <w:szCs w:val="18"/>
                <w:lang w:val="en-US" w:eastAsia="zh-CN"/>
              </w:rPr>
              <w:t>没有发现违法违规问题</w:t>
            </w:r>
          </w:p>
        </w:tc>
        <w:tc>
          <w:tcPr>
            <w:tcW w:w="745" w:type="dxa"/>
            <w:noWrap w:val="0"/>
            <w:tcMar>
              <w:top w:w="0" w:type="dxa"/>
              <w:left w:w="105" w:type="dxa"/>
              <w:bottom w:w="0" w:type="dxa"/>
              <w:right w:w="105" w:type="dxa"/>
            </w:tcMar>
            <w:vAlign w:val="center"/>
          </w:tcPr>
          <w:p>
            <w:pPr>
              <w:ind w:left="1" w:leftChars="0"/>
              <w:jc w:val="center"/>
              <w:rPr>
                <w:rFonts w:eastAsia="楷体_GB2312"/>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3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资产管理（5分）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1</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部门为加强资产管理、规范资产管理行为而制定的管理制度是否健全完整，是否合法合规，是否执行到位。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614" w:type="dxa"/>
            <w:noWrap w:val="0"/>
            <w:tcMar>
              <w:top w:w="0" w:type="dxa"/>
              <w:left w:w="105" w:type="dxa"/>
              <w:bottom w:w="0" w:type="dxa"/>
              <w:right w:w="105" w:type="dxa"/>
            </w:tcMar>
            <w:vAlign w:val="center"/>
          </w:tcPr>
          <w:p>
            <w:pPr>
              <w:ind w:left="1" w:leftChars="0"/>
              <w:jc w:val="center"/>
              <w:rPr>
                <w:rFonts w:eastAsia="楷体_GB2312"/>
                <w:sz w:val="18"/>
                <w:szCs w:val="18"/>
              </w:rPr>
            </w:pPr>
            <w:r>
              <w:rPr>
                <w:rFonts w:hint="eastAsia" w:eastAsia="楷体_GB2312"/>
                <w:sz w:val="18"/>
                <w:szCs w:val="18"/>
                <w:lang w:eastAsia="zh-CN"/>
              </w:rPr>
              <w:t>健全完整，合规合法，执行未全部到位</w:t>
            </w:r>
          </w:p>
        </w:tc>
        <w:tc>
          <w:tcPr>
            <w:tcW w:w="745" w:type="dxa"/>
            <w:noWrap w:val="0"/>
            <w:tcMar>
              <w:top w:w="0" w:type="dxa"/>
              <w:left w:w="105" w:type="dxa"/>
              <w:bottom w:w="0" w:type="dxa"/>
              <w:right w:w="105" w:type="dxa"/>
            </w:tcMar>
            <w:vAlign w:val="center"/>
          </w:tcPr>
          <w:p>
            <w:pPr>
              <w:ind w:left="1" w:leftChars="0"/>
              <w:jc w:val="center"/>
              <w:rPr>
                <w:rFonts w:eastAsia="楷体_GB2312"/>
              </w:rPr>
            </w:pPr>
            <w:r>
              <w:rPr>
                <w:rFonts w:hint="eastAsia" w:eastAsia="楷体_GB2312"/>
                <w:lang w:val="en-US" w:eastAsia="zh-CN"/>
              </w:rPr>
              <w:t>0.5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6"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w:t>
            </w:r>
          </w:p>
          <w:p>
            <w:pPr>
              <w:spacing w:line="300" w:lineRule="exact"/>
              <w:jc w:val="center"/>
              <w:rPr>
                <w:rFonts w:eastAsia="楷体_GB2312"/>
                <w:sz w:val="18"/>
                <w:szCs w:val="18"/>
              </w:rPr>
            </w:pPr>
            <w:r>
              <w:rPr>
                <w:rFonts w:eastAsia="楷体_GB2312"/>
                <w:sz w:val="18"/>
                <w:szCs w:val="18"/>
              </w:rPr>
              <w:t>安全性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部门的资产是否保存完整、使用合规、配置合理、处置规范、收入及时足额上缴。</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每发现一项问题，扣0.5分，扣完为止。</w:t>
            </w:r>
          </w:p>
        </w:tc>
        <w:tc>
          <w:tcPr>
            <w:tcW w:w="1614" w:type="dxa"/>
            <w:noWrap w:val="0"/>
            <w:tcMar>
              <w:top w:w="0" w:type="dxa"/>
              <w:left w:w="105" w:type="dxa"/>
              <w:bottom w:w="0" w:type="dxa"/>
              <w:right w:w="105" w:type="dxa"/>
            </w:tcMar>
            <w:vAlign w:val="center"/>
          </w:tcPr>
          <w:p>
            <w:pPr>
              <w:ind w:left="1" w:leftChars="0"/>
              <w:jc w:val="center"/>
              <w:rPr>
                <w:rFonts w:eastAsia="楷体_GB2312"/>
                <w:sz w:val="18"/>
                <w:szCs w:val="18"/>
              </w:rPr>
            </w:pPr>
            <w:r>
              <w:rPr>
                <w:rFonts w:hint="eastAsia" w:eastAsia="楷体_GB2312"/>
                <w:sz w:val="18"/>
                <w:szCs w:val="18"/>
                <w:lang w:eastAsia="zh-CN"/>
              </w:rPr>
              <w:t>保存完整，没有处置资产</w:t>
            </w:r>
          </w:p>
        </w:tc>
        <w:tc>
          <w:tcPr>
            <w:tcW w:w="745" w:type="dxa"/>
            <w:noWrap w:val="0"/>
            <w:tcMar>
              <w:top w:w="0" w:type="dxa"/>
              <w:left w:w="105" w:type="dxa"/>
              <w:bottom w:w="0" w:type="dxa"/>
              <w:right w:w="105" w:type="dxa"/>
            </w:tcMar>
            <w:vAlign w:val="center"/>
          </w:tcPr>
          <w:p>
            <w:pPr>
              <w:ind w:left="1" w:leftChars="0"/>
              <w:jc w:val="center"/>
              <w:rPr>
                <w:rFonts w:eastAsia="楷体_GB2312"/>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固定资产</w:t>
            </w:r>
          </w:p>
          <w:p>
            <w:pPr>
              <w:spacing w:line="300" w:lineRule="exact"/>
              <w:jc w:val="center"/>
              <w:rPr>
                <w:rFonts w:eastAsia="楷体_GB2312"/>
                <w:sz w:val="18"/>
                <w:szCs w:val="18"/>
              </w:rPr>
            </w:pPr>
            <w:r>
              <w:rPr>
                <w:rFonts w:eastAsia="楷体_GB2312"/>
                <w:sz w:val="18"/>
                <w:szCs w:val="18"/>
              </w:rPr>
              <w:t>利用率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固定资产利用率=（实际在用固定资产总额/所有固定资产总额）×100%</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99%≤结果≤100%，得2分；</w:t>
            </w:r>
          </w:p>
          <w:p>
            <w:pPr>
              <w:spacing w:line="300" w:lineRule="exact"/>
              <w:jc w:val="left"/>
              <w:rPr>
                <w:rFonts w:eastAsia="楷体_GB2312"/>
                <w:sz w:val="18"/>
                <w:szCs w:val="18"/>
              </w:rPr>
            </w:pPr>
            <w:r>
              <w:rPr>
                <w:rFonts w:eastAsia="楷体_GB2312"/>
                <w:sz w:val="18"/>
                <w:szCs w:val="18"/>
              </w:rPr>
              <w:t>90%≤结果＜99%，得1分；</w:t>
            </w:r>
          </w:p>
          <w:p>
            <w:pPr>
              <w:spacing w:line="300" w:lineRule="exact"/>
              <w:jc w:val="left"/>
              <w:rPr>
                <w:rFonts w:eastAsia="楷体_GB2312"/>
                <w:spacing w:val="-20"/>
                <w:sz w:val="18"/>
                <w:szCs w:val="18"/>
              </w:rPr>
            </w:pPr>
            <w:r>
              <w:rPr>
                <w:rFonts w:eastAsia="楷体_GB2312"/>
                <w:sz w:val="18"/>
                <w:szCs w:val="18"/>
              </w:rPr>
              <w:t>结果＜90%，得0分。</w:t>
            </w:r>
          </w:p>
        </w:tc>
        <w:tc>
          <w:tcPr>
            <w:tcW w:w="1614" w:type="dxa"/>
            <w:noWrap w:val="0"/>
            <w:tcMar>
              <w:top w:w="0" w:type="dxa"/>
              <w:left w:w="105" w:type="dxa"/>
              <w:bottom w:w="0" w:type="dxa"/>
              <w:right w:w="105" w:type="dxa"/>
            </w:tcMar>
            <w:vAlign w:val="center"/>
          </w:tcPr>
          <w:p>
            <w:pPr>
              <w:jc w:val="center"/>
              <w:rPr>
                <w:rFonts w:hint="default" w:eastAsia="楷体_GB2312"/>
                <w:sz w:val="18"/>
                <w:szCs w:val="18"/>
                <w:lang w:val="en-US" w:eastAsia="zh-CN"/>
              </w:rPr>
            </w:pPr>
            <w:r>
              <w:rPr>
                <w:rFonts w:hint="eastAsia" w:eastAsia="楷体_GB2312"/>
                <w:sz w:val="18"/>
                <w:szCs w:val="18"/>
                <w:lang w:val="en-US" w:eastAsia="zh-CN"/>
              </w:rPr>
              <w:t>42.05/42.05*100%=100%</w:t>
            </w:r>
          </w:p>
        </w:tc>
        <w:tc>
          <w:tcPr>
            <w:tcW w:w="745"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094"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产出与效果(共</w:t>
            </w:r>
            <w:r>
              <w:rPr>
                <w:rFonts w:hint="eastAsia" w:eastAsia="楷体_GB2312"/>
                <w:sz w:val="18"/>
                <w:szCs w:val="18"/>
              </w:rPr>
              <w:t>6</w:t>
            </w:r>
            <w:r>
              <w:rPr>
                <w:rFonts w:eastAsia="楷体_GB2312"/>
                <w:sz w:val="18"/>
                <w:szCs w:val="18"/>
              </w:rPr>
              <w:t>0分)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p>
          <w:p>
            <w:pPr>
              <w:spacing w:before="100" w:beforeAutospacing="1" w:after="100" w:afterAutospacing="1"/>
              <w:jc w:val="center"/>
              <w:rPr>
                <w:rFonts w:eastAsia="楷体_GB2312"/>
                <w:sz w:val="18"/>
                <w:szCs w:val="18"/>
              </w:rPr>
            </w:pPr>
            <w:r>
              <w:rPr>
                <w:rFonts w:eastAsia="楷体_GB2312"/>
                <w:sz w:val="18"/>
                <w:szCs w:val="18"/>
              </w:rPr>
              <w:t>产出指标（30分）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数量</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对照绩效目标，按实际产出数量率计算得分</w:t>
            </w:r>
          </w:p>
        </w:tc>
        <w:tc>
          <w:tcPr>
            <w:tcW w:w="1614" w:type="dxa"/>
            <w:noWrap w:val="0"/>
            <w:tcMar>
              <w:top w:w="0" w:type="dxa"/>
              <w:left w:w="105" w:type="dxa"/>
              <w:bottom w:w="0" w:type="dxa"/>
              <w:right w:w="105" w:type="dxa"/>
            </w:tcMar>
            <w:vAlign w:val="center"/>
          </w:tcPr>
          <w:p>
            <w:pPr>
              <w:ind w:left="1" w:leftChars="0"/>
              <w:jc w:val="center"/>
              <w:rPr>
                <w:rFonts w:eastAsia="楷体_GB2312"/>
                <w:sz w:val="18"/>
                <w:szCs w:val="18"/>
              </w:rPr>
            </w:pPr>
            <w:r>
              <w:rPr>
                <w:rFonts w:hint="eastAsia" w:eastAsia="楷体_GB2312"/>
                <w:sz w:val="18"/>
                <w:szCs w:val="18"/>
                <w:lang w:val="en-US" w:eastAsia="zh-CN"/>
              </w:rPr>
              <w:t>数量指标都已达到指标值</w:t>
            </w:r>
          </w:p>
        </w:tc>
        <w:tc>
          <w:tcPr>
            <w:tcW w:w="745" w:type="dxa"/>
            <w:noWrap w:val="0"/>
            <w:tcMar>
              <w:top w:w="0" w:type="dxa"/>
              <w:left w:w="105" w:type="dxa"/>
              <w:bottom w:w="0" w:type="dxa"/>
              <w:right w:w="105" w:type="dxa"/>
            </w:tcMar>
            <w:vAlign w:val="center"/>
          </w:tcPr>
          <w:p>
            <w:pPr>
              <w:ind w:left="1" w:leftChars="0"/>
              <w:jc w:val="center"/>
              <w:rPr>
                <w:rFonts w:eastAsia="楷体_GB2312"/>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9"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质量</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对照整体绩效目标评价。未设置整体绩效目标，或整体绩效目标设置不完善的，根据部门年度履行职责主要工作和重点工作，标识具体明确的产出质量。</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对照绩效目标，按实际产出质量计算得分</w:t>
            </w:r>
          </w:p>
        </w:tc>
        <w:tc>
          <w:tcPr>
            <w:tcW w:w="1614"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val="en-US" w:eastAsia="zh-CN"/>
              </w:rPr>
              <w:t>质量指标达到指标值</w:t>
            </w:r>
          </w:p>
        </w:tc>
        <w:tc>
          <w:tcPr>
            <w:tcW w:w="745"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lang w:val="en-US" w:eastAsia="zh-CN" w:bidi="ar-SA"/>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5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时效</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对照整体绩效目标评价。未设置整体绩效目标，或整体绩效目标设置不完善的，根据部门年度履行职责主要工作和重点工作，标识具体明确的产出时效。</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对照绩效目标，按实际产出时效计算得分</w:t>
            </w:r>
          </w:p>
        </w:tc>
        <w:tc>
          <w:tcPr>
            <w:tcW w:w="1614"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val="en-US" w:eastAsia="zh-CN"/>
              </w:rPr>
              <w:t>时效指标未100%达到，部分喜报送达不及时</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效益指标（</w:t>
            </w:r>
            <w:r>
              <w:rPr>
                <w:rFonts w:hint="eastAsia" w:eastAsia="楷体_GB2312"/>
                <w:sz w:val="18"/>
                <w:szCs w:val="18"/>
              </w:rPr>
              <w:t>3</w:t>
            </w:r>
            <w:r>
              <w:rPr>
                <w:rFonts w:eastAsia="楷体_GB2312"/>
                <w:sz w:val="18"/>
                <w:szCs w:val="18"/>
              </w:rPr>
              <w:t>0分）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经济</w:t>
            </w:r>
          </w:p>
          <w:p>
            <w:pPr>
              <w:spacing w:line="300" w:lineRule="exact"/>
              <w:jc w:val="center"/>
              <w:rPr>
                <w:rFonts w:hint="eastAsia" w:eastAsia="楷体_GB2312"/>
                <w:sz w:val="18"/>
                <w:szCs w:val="18"/>
              </w:rPr>
            </w:pPr>
            <w:r>
              <w:rPr>
                <w:rFonts w:eastAsia="楷体_GB2312"/>
                <w:sz w:val="18"/>
                <w:szCs w:val="18"/>
              </w:rPr>
              <w:t>效益</w:t>
            </w:r>
          </w:p>
        </w:tc>
        <w:tc>
          <w:tcPr>
            <w:tcW w:w="701" w:type="dxa"/>
            <w:vMerge w:val="restart"/>
            <w:tcBorders>
              <w:top w:val="single" w:color="auto" w:sz="4" w:space="0"/>
            </w:tcBorders>
            <w:noWrap w:val="0"/>
            <w:tcMar>
              <w:top w:w="0" w:type="dxa"/>
              <w:left w:w="105" w:type="dxa"/>
              <w:bottom w:w="0" w:type="dxa"/>
              <w:right w:w="105" w:type="dxa"/>
            </w:tcMar>
            <w:vAlign w:val="center"/>
          </w:tcPr>
          <w:p>
            <w:pPr>
              <w:jc w:val="center"/>
              <w:rPr>
                <w:rFonts w:eastAsia="楷体_GB2312"/>
                <w:sz w:val="18"/>
                <w:szCs w:val="18"/>
              </w:rPr>
            </w:pPr>
            <w:r>
              <w:rPr>
                <w:rFonts w:hint="eastAsia" w:eastAsia="楷体_GB2312"/>
                <w:sz w:val="18"/>
                <w:szCs w:val="18"/>
              </w:rPr>
              <w:t>20</w:t>
            </w:r>
          </w:p>
        </w:tc>
        <w:tc>
          <w:tcPr>
            <w:tcW w:w="4750" w:type="dxa"/>
            <w:tcBorders>
              <w:top w:val="single" w:color="auto" w:sz="4" w:space="0"/>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对照绩效目标，按经济效益实现程度计算得分</w:t>
            </w:r>
          </w:p>
        </w:tc>
        <w:tc>
          <w:tcPr>
            <w:tcW w:w="1614"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无经济效益绩效目标</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tcBorders>
              <w:right w:val="single" w:color="auto" w:sz="4" w:space="0"/>
            </w:tcBorders>
            <w:noWrap w:val="0"/>
            <w:vAlign w:val="center"/>
          </w:tcPr>
          <w:p>
            <w:pPr>
              <w:spacing w:line="300" w:lineRule="exact"/>
              <w:jc w:val="center"/>
              <w:rPr>
                <w:rFonts w:eastAsia="楷体_GB2312"/>
                <w:sz w:val="18"/>
                <w:szCs w:val="18"/>
              </w:rPr>
            </w:pPr>
            <w:r>
              <w:rPr>
                <w:rFonts w:eastAsia="楷体_GB2312"/>
                <w:sz w:val="18"/>
                <w:szCs w:val="18"/>
              </w:rPr>
              <w:t>社会</w:t>
            </w:r>
          </w:p>
          <w:p>
            <w:pPr>
              <w:spacing w:line="300" w:lineRule="exact"/>
              <w:jc w:val="center"/>
              <w:rPr>
                <w:rFonts w:eastAsia="楷体_GB2312"/>
                <w:sz w:val="18"/>
                <w:szCs w:val="18"/>
              </w:rPr>
            </w:pPr>
            <w:r>
              <w:rPr>
                <w:rFonts w:eastAsia="楷体_GB2312"/>
                <w:sz w:val="18"/>
                <w:szCs w:val="18"/>
              </w:rPr>
              <w:t>效益</w:t>
            </w:r>
          </w:p>
        </w:tc>
        <w:tc>
          <w:tcPr>
            <w:tcW w:w="701" w:type="dxa"/>
            <w:vMerge w:val="continue"/>
            <w:noWrap w:val="0"/>
            <w:vAlign w:val="center"/>
          </w:tcPr>
          <w:p>
            <w:pPr>
              <w:jc w:val="center"/>
              <w:rPr>
                <w:rFonts w:hint="eastAsia" w:eastAsia="楷体_GB2312"/>
                <w:sz w:val="18"/>
                <w:szCs w:val="18"/>
              </w:rPr>
            </w:pPr>
          </w:p>
        </w:tc>
        <w:tc>
          <w:tcPr>
            <w:tcW w:w="4750" w:type="dxa"/>
            <w:tcBorders>
              <w:top w:val="single" w:color="auto" w:sz="4" w:space="0"/>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对照整体绩效目标评价。未设置整体绩效目标，或整体绩效目标设置不完善的，根据部门年度履行职责主要工作和重点工作，标识所产生的社会效益</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对照绩效目标，按社会效益实现程度计算得分</w:t>
            </w:r>
          </w:p>
        </w:tc>
        <w:tc>
          <w:tcPr>
            <w:tcW w:w="1614"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val="en-US" w:eastAsia="zh-CN"/>
              </w:rPr>
              <w:t>完成社会效益绩效目标</w:t>
            </w:r>
          </w:p>
        </w:tc>
        <w:tc>
          <w:tcPr>
            <w:tcW w:w="745"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lang w:val="en-US" w:eastAsia="zh-CN" w:bidi="ar-SA"/>
              </w:rPr>
            </w:pPr>
            <w:r>
              <w:rPr>
                <w:rFonts w:hint="eastAsia" w:eastAsia="楷体_GB2312"/>
                <w:lang w:val="en-US" w:eastAsia="zh-CN"/>
              </w:rPr>
              <w:t>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23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vAlign w:val="center"/>
          </w:tcPr>
          <w:p>
            <w:pPr>
              <w:spacing w:line="300" w:lineRule="exact"/>
              <w:jc w:val="center"/>
              <w:rPr>
                <w:rFonts w:eastAsia="楷体_GB2312"/>
                <w:sz w:val="18"/>
                <w:szCs w:val="18"/>
              </w:rPr>
            </w:pPr>
            <w:r>
              <w:rPr>
                <w:rFonts w:eastAsia="楷体_GB2312"/>
                <w:sz w:val="18"/>
                <w:szCs w:val="18"/>
              </w:rPr>
              <w:t>环境</w:t>
            </w:r>
          </w:p>
          <w:p>
            <w:pPr>
              <w:spacing w:line="300" w:lineRule="exact"/>
              <w:jc w:val="center"/>
              <w:rPr>
                <w:rFonts w:eastAsia="楷体_GB2312"/>
                <w:sz w:val="18"/>
                <w:szCs w:val="18"/>
              </w:rPr>
            </w:pPr>
            <w:r>
              <w:rPr>
                <w:rFonts w:eastAsia="楷体_GB2312"/>
                <w:sz w:val="18"/>
                <w:szCs w:val="18"/>
              </w:rPr>
              <w:t>效益</w:t>
            </w:r>
          </w:p>
        </w:tc>
        <w:tc>
          <w:tcPr>
            <w:tcW w:w="701" w:type="dxa"/>
            <w:vMerge w:val="continue"/>
            <w:noWrap w:val="0"/>
            <w:vAlign w:val="center"/>
          </w:tcPr>
          <w:p>
            <w:pPr>
              <w:jc w:val="center"/>
              <w:rPr>
                <w:rFonts w:hint="eastAsia" w:eastAsia="楷体_GB2312"/>
                <w:sz w:val="18"/>
                <w:szCs w:val="18"/>
              </w:rPr>
            </w:pPr>
          </w:p>
        </w:tc>
        <w:tc>
          <w:tcPr>
            <w:tcW w:w="4750" w:type="dxa"/>
            <w:tcBorders>
              <w:right w:val="nil"/>
            </w:tcBorders>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w:t>
            </w:r>
          </w:p>
          <w:p>
            <w:pPr>
              <w:spacing w:line="300" w:lineRule="exact"/>
              <w:jc w:val="left"/>
              <w:rPr>
                <w:rFonts w:eastAsia="楷体_GB2312"/>
                <w:sz w:val="18"/>
                <w:szCs w:val="18"/>
              </w:rPr>
            </w:pPr>
            <w:r>
              <w:rPr>
                <w:rFonts w:eastAsia="楷体_GB2312"/>
                <w:sz w:val="18"/>
                <w:szCs w:val="18"/>
              </w:rPr>
              <w:t>置整体绩效目标，或整体绩效目标设置不完善的，根据部门年度履行职责主要工作和重点工作，标识对环境所产生的积极或消极影响</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对照绩效目标，按对环境所产生的实际影响程度计算得分</w:t>
            </w:r>
          </w:p>
        </w:tc>
        <w:tc>
          <w:tcPr>
            <w:tcW w:w="1614"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无环境效益绩效目标</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6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vAlign w:val="center"/>
          </w:tcPr>
          <w:p>
            <w:pPr>
              <w:spacing w:line="300" w:lineRule="exact"/>
              <w:jc w:val="center"/>
              <w:rPr>
                <w:rFonts w:eastAsia="楷体_GB2312"/>
                <w:sz w:val="18"/>
                <w:szCs w:val="18"/>
              </w:rPr>
            </w:pPr>
            <w:r>
              <w:rPr>
                <w:rFonts w:eastAsia="楷体_GB2312"/>
                <w:sz w:val="18"/>
                <w:szCs w:val="18"/>
              </w:rPr>
              <w:t>可持续性</w:t>
            </w:r>
          </w:p>
        </w:tc>
        <w:tc>
          <w:tcPr>
            <w:tcW w:w="701" w:type="dxa"/>
            <w:vMerge w:val="continue"/>
            <w:noWrap w:val="0"/>
            <w:vAlign w:val="center"/>
          </w:tcPr>
          <w:p>
            <w:pPr>
              <w:jc w:val="center"/>
              <w:rPr>
                <w:rFonts w:hint="eastAsia" w:eastAsia="楷体_GB2312"/>
                <w:sz w:val="18"/>
                <w:szCs w:val="18"/>
              </w:rPr>
            </w:pP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对照整体绩效目标评价。未设置整体绩效目标，或整体绩效目标设置不完善的，根据部门年度履行职责主要工作和重点工作，标识可持续性</w:t>
            </w:r>
          </w:p>
        </w:tc>
        <w:tc>
          <w:tcPr>
            <w:tcW w:w="3123"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对照绩效目标，按实际情况计算得分</w:t>
            </w:r>
          </w:p>
        </w:tc>
        <w:tc>
          <w:tcPr>
            <w:tcW w:w="1614"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val="en-US" w:eastAsia="zh-CN"/>
              </w:rPr>
              <w:t>完成可持续性绩效目标</w:t>
            </w:r>
          </w:p>
        </w:tc>
        <w:tc>
          <w:tcPr>
            <w:tcW w:w="745" w:type="dxa"/>
            <w:noWrap w:val="0"/>
            <w:tcMar>
              <w:top w:w="0" w:type="dxa"/>
              <w:left w:w="105" w:type="dxa"/>
              <w:bottom w:w="0" w:type="dxa"/>
              <w:right w:w="105" w:type="dxa"/>
            </w:tcMar>
            <w:vAlign w:val="center"/>
          </w:tcPr>
          <w:p>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5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260" w:lineRule="exact"/>
              <w:jc w:val="center"/>
              <w:rPr>
                <w:rFonts w:eastAsia="楷体_GB2312"/>
                <w:sz w:val="18"/>
                <w:szCs w:val="18"/>
              </w:rPr>
            </w:pPr>
            <w:r>
              <w:rPr>
                <w:rFonts w:eastAsia="楷体_GB2312"/>
                <w:sz w:val="18"/>
                <w:szCs w:val="18"/>
              </w:rPr>
              <w:t>社会公众与服务对象满意度</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spacing w:line="300" w:lineRule="exact"/>
              <w:jc w:val="left"/>
              <w:rPr>
                <w:rFonts w:eastAsia="楷体_GB2312"/>
                <w:sz w:val="18"/>
                <w:szCs w:val="18"/>
              </w:rPr>
            </w:pPr>
            <w:r>
              <w:rPr>
                <w:rFonts w:eastAsia="楷体_GB2312"/>
                <w:sz w:val="18"/>
                <w:szCs w:val="18"/>
              </w:rPr>
              <w:t>社会公众、服务对象对部门主要工作实施的满意程度</w:t>
            </w:r>
          </w:p>
        </w:tc>
        <w:tc>
          <w:tcPr>
            <w:tcW w:w="3123" w:type="dxa"/>
            <w:noWrap w:val="0"/>
            <w:tcMar>
              <w:top w:w="0" w:type="dxa"/>
              <w:left w:w="105" w:type="dxa"/>
              <w:bottom w:w="0" w:type="dxa"/>
              <w:right w:w="105" w:type="dxa"/>
            </w:tcMar>
            <w:vAlign w:val="center"/>
          </w:tcPr>
          <w:p>
            <w:pPr>
              <w:spacing w:line="300" w:lineRule="exact"/>
              <w:jc w:val="left"/>
              <w:rPr>
                <w:rFonts w:hint="eastAsia" w:eastAsia="楷体_GB2312"/>
                <w:sz w:val="18"/>
                <w:szCs w:val="18"/>
              </w:rPr>
            </w:pPr>
            <w:r>
              <w:rPr>
                <w:rFonts w:hint="eastAsia" w:eastAsia="楷体_GB2312"/>
                <w:sz w:val="18"/>
                <w:szCs w:val="18"/>
              </w:rPr>
              <w:t>90%≤满意度≤100%记10分，</w:t>
            </w:r>
          </w:p>
          <w:p>
            <w:pPr>
              <w:spacing w:line="300" w:lineRule="exact"/>
              <w:jc w:val="left"/>
              <w:rPr>
                <w:rFonts w:hint="eastAsia" w:eastAsia="楷体_GB2312"/>
                <w:sz w:val="18"/>
                <w:szCs w:val="18"/>
              </w:rPr>
            </w:pPr>
            <w:r>
              <w:rPr>
                <w:rFonts w:hint="eastAsia" w:eastAsia="楷体_GB2312"/>
                <w:sz w:val="18"/>
                <w:szCs w:val="18"/>
              </w:rPr>
              <w:t>80%≤满意度&lt;90%记8分，</w:t>
            </w:r>
          </w:p>
          <w:p>
            <w:pPr>
              <w:spacing w:line="300" w:lineRule="exact"/>
              <w:jc w:val="left"/>
              <w:rPr>
                <w:rFonts w:hint="eastAsia" w:eastAsia="楷体_GB2312"/>
                <w:sz w:val="18"/>
                <w:szCs w:val="18"/>
              </w:rPr>
            </w:pPr>
            <w:r>
              <w:rPr>
                <w:rFonts w:hint="eastAsia" w:eastAsia="楷体_GB2312"/>
                <w:sz w:val="18"/>
                <w:szCs w:val="18"/>
              </w:rPr>
              <w:t>70%≤满意度&lt;80%  记6分，</w:t>
            </w:r>
          </w:p>
          <w:p>
            <w:pPr>
              <w:spacing w:line="300" w:lineRule="exact"/>
              <w:jc w:val="left"/>
              <w:rPr>
                <w:rFonts w:hint="eastAsia" w:eastAsia="楷体_GB2312"/>
                <w:sz w:val="18"/>
                <w:szCs w:val="18"/>
              </w:rPr>
            </w:pPr>
            <w:r>
              <w:rPr>
                <w:rFonts w:hint="eastAsia" w:eastAsia="楷体_GB2312"/>
                <w:sz w:val="18"/>
                <w:szCs w:val="18"/>
              </w:rPr>
              <w:t>60%≤满意度&lt;70%记4分，</w:t>
            </w:r>
          </w:p>
          <w:p>
            <w:pPr>
              <w:spacing w:line="300" w:lineRule="exact"/>
              <w:jc w:val="left"/>
              <w:rPr>
                <w:rFonts w:eastAsia="楷体_GB2312"/>
                <w:sz w:val="18"/>
                <w:szCs w:val="18"/>
              </w:rPr>
            </w:pPr>
            <w:r>
              <w:rPr>
                <w:rFonts w:hint="eastAsia" w:eastAsia="楷体_GB2312"/>
                <w:sz w:val="18"/>
                <w:szCs w:val="18"/>
              </w:rPr>
              <w:t>满意度&lt;60%记0分。</w:t>
            </w:r>
          </w:p>
        </w:tc>
        <w:tc>
          <w:tcPr>
            <w:tcW w:w="1614"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sz w:val="18"/>
                <w:szCs w:val="18"/>
                <w:lang w:val="en-US" w:eastAsia="zh-CN" w:bidi="ar-SA"/>
              </w:rPr>
            </w:pPr>
            <w:r>
              <w:rPr>
                <w:rFonts w:hint="eastAsia" w:eastAsia="楷体_GB2312"/>
                <w:sz w:val="18"/>
                <w:szCs w:val="18"/>
                <w:lang w:val="en-US" w:eastAsia="zh-CN"/>
              </w:rPr>
              <w:t>服务对象满意度92%</w:t>
            </w:r>
          </w:p>
        </w:tc>
        <w:tc>
          <w:tcPr>
            <w:tcW w:w="745" w:type="dxa"/>
            <w:noWrap w:val="0"/>
            <w:tcMar>
              <w:top w:w="0" w:type="dxa"/>
              <w:left w:w="105" w:type="dxa"/>
              <w:bottom w:w="0" w:type="dxa"/>
              <w:right w:w="105" w:type="dxa"/>
            </w:tcMar>
            <w:vAlign w:val="center"/>
          </w:tcPr>
          <w:p>
            <w:pPr>
              <w:ind w:left="1" w:leftChars="0"/>
              <w:jc w:val="center"/>
              <w:rPr>
                <w:rFonts w:hint="default" w:ascii="Times New Roman" w:hAnsi="Times New Roman" w:eastAsia="楷体_GB2312" w:cs="Times New Roman"/>
                <w:lang w:val="en-US" w:eastAsia="zh-CN" w:bidi="ar-SA"/>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86" w:hRule="atLeast"/>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22"/>
                <w:szCs w:val="22"/>
              </w:rPr>
            </w:pPr>
            <w:r>
              <w:rPr>
                <w:rFonts w:eastAsia="楷体_GB2312"/>
                <w:sz w:val="22"/>
                <w:szCs w:val="22"/>
              </w:rPr>
              <w:t>合计</w:t>
            </w:r>
          </w:p>
        </w:tc>
        <w:tc>
          <w:tcPr>
            <w:tcW w:w="1179" w:type="dxa"/>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1226" w:type="dxa"/>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pacing w:val="-20"/>
                <w:sz w:val="22"/>
                <w:szCs w:val="22"/>
              </w:rPr>
            </w:pPr>
            <w:r>
              <w:rPr>
                <w:rFonts w:eastAsia="楷体_GB2312"/>
                <w:spacing w:val="-20"/>
                <w:sz w:val="22"/>
                <w:szCs w:val="22"/>
              </w:rPr>
              <w:t>100</w:t>
            </w:r>
          </w:p>
        </w:tc>
        <w:tc>
          <w:tcPr>
            <w:tcW w:w="4750" w:type="dxa"/>
            <w:noWrap w:val="0"/>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3123" w:type="dxa"/>
            <w:noWrap w:val="0"/>
            <w:tcMar>
              <w:top w:w="0" w:type="dxa"/>
              <w:left w:w="105" w:type="dxa"/>
              <w:bottom w:w="0" w:type="dxa"/>
              <w:right w:w="105" w:type="dxa"/>
            </w:tcMar>
            <w:vAlign w:val="center"/>
          </w:tcPr>
          <w:p>
            <w:pPr>
              <w:spacing w:line="300" w:lineRule="exact"/>
              <w:jc w:val="center"/>
              <w:rPr>
                <w:rFonts w:eastAsia="楷体_GB2312"/>
              </w:rPr>
            </w:pPr>
            <w:r>
              <w:rPr>
                <w:rFonts w:eastAsia="楷体_GB2312"/>
              </w:rPr>
              <w:t>——</w:t>
            </w:r>
          </w:p>
        </w:tc>
        <w:tc>
          <w:tcPr>
            <w:tcW w:w="1614" w:type="dxa"/>
            <w:noWrap w:val="0"/>
            <w:tcMar>
              <w:top w:w="0" w:type="dxa"/>
              <w:left w:w="105" w:type="dxa"/>
              <w:bottom w:w="0" w:type="dxa"/>
              <w:right w:w="105" w:type="dxa"/>
            </w:tcMar>
            <w:vAlign w:val="center"/>
          </w:tcPr>
          <w:p>
            <w:pPr>
              <w:spacing w:before="100" w:beforeAutospacing="1" w:after="100" w:afterAutospacing="1"/>
              <w:jc w:val="center"/>
              <w:rPr>
                <w:rFonts w:eastAsia="楷体_GB2312"/>
              </w:rPr>
            </w:pPr>
            <w:r>
              <w:rPr>
                <w:rFonts w:eastAsia="楷体_GB2312"/>
              </w:rPr>
              <w:t>——</w:t>
            </w:r>
          </w:p>
        </w:tc>
        <w:tc>
          <w:tcPr>
            <w:tcW w:w="745" w:type="dxa"/>
            <w:noWrap w:val="0"/>
            <w:tcMar>
              <w:top w:w="0" w:type="dxa"/>
              <w:left w:w="105" w:type="dxa"/>
              <w:bottom w:w="0" w:type="dxa"/>
              <w:right w:w="105" w:type="dxa"/>
            </w:tcMar>
            <w:vAlign w:val="center"/>
          </w:tcPr>
          <w:p>
            <w:pPr>
              <w:rPr>
                <w:rFonts w:hint="default" w:eastAsia="楷体_GB2312"/>
                <w:lang w:val="en-US" w:eastAsia="zh-CN"/>
              </w:rPr>
            </w:pPr>
            <w:r>
              <w:rPr>
                <w:rFonts w:hint="eastAsia" w:eastAsia="楷体_GB2312"/>
                <w:lang w:val="en-US" w:eastAsia="zh-CN"/>
              </w:rPr>
              <w:t>91.5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30" w:hRule="atLeast"/>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评价</w:t>
            </w:r>
          </w:p>
          <w:p>
            <w:pPr>
              <w:spacing w:before="100" w:beforeAutospacing="1" w:after="100" w:afterAutospacing="1"/>
              <w:jc w:val="center"/>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等级</w:t>
            </w:r>
          </w:p>
        </w:tc>
        <w:tc>
          <w:tcPr>
            <w:tcW w:w="13338" w:type="dxa"/>
            <w:gridSpan w:val="7"/>
            <w:noWrap w:val="0"/>
            <w:tcMar>
              <w:top w:w="0" w:type="dxa"/>
              <w:left w:w="105" w:type="dxa"/>
              <w:bottom w:w="0" w:type="dxa"/>
              <w:right w:w="105" w:type="dxa"/>
            </w:tcMar>
            <w:vAlign w:val="center"/>
          </w:tcPr>
          <w:p>
            <w:pPr>
              <w:spacing w:line="400" w:lineRule="exact"/>
              <w:ind w:firstLine="210" w:firstLineChars="100"/>
              <w:rPr>
                <w:rFonts w:hint="eastAsia" w:ascii="楷体_GB2312" w:hAnsi="楷体_GB2312" w:eastAsia="楷体_GB2312" w:cs="楷体_GB2312"/>
                <w:sz w:val="21"/>
                <w:szCs w:val="16"/>
              </w:rPr>
            </w:pPr>
            <w:r>
              <w:rPr>
                <w:rFonts w:hint="eastAsia" w:ascii="楷体_GB2312" w:hAnsi="楷体_GB2312" w:eastAsia="楷体_GB2312" w:cs="楷体_GB2312"/>
                <w:sz w:val="21"/>
                <w:szCs w:val="16"/>
                <w:lang w:eastAsia="zh-CN"/>
              </w:rPr>
              <w:t>☑</w:t>
            </w:r>
            <w:r>
              <w:rPr>
                <w:rFonts w:hint="eastAsia" w:ascii="楷体_GB2312" w:hAnsi="楷体_GB2312" w:eastAsia="楷体_GB2312" w:cs="楷体_GB2312"/>
                <w:sz w:val="21"/>
                <w:szCs w:val="16"/>
              </w:rPr>
              <w:t xml:space="preserve">优秀  90分≤得分≤100分；   □良好  </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分≤得分＜90分；   □较差  60分≤得分＜</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   □差  得分＜60分</w:t>
            </w:r>
          </w:p>
        </w:tc>
      </w:tr>
    </w:tbl>
    <w:p>
      <w:pPr>
        <w:spacing w:line="320" w:lineRule="exact"/>
        <w:ind w:firstLine="6490" w:firstLineChars="2950"/>
        <w:jc w:val="center"/>
        <w:rPr>
          <w:rFonts w:ascii="华文中宋" w:hAnsi="华文中宋" w:eastAsia="华文中宋"/>
          <w:sz w:val="22"/>
          <w:szCs w:val="24"/>
        </w:rPr>
      </w:pPr>
    </w:p>
    <w:p>
      <w:pPr>
        <w:spacing w:line="320" w:lineRule="exact"/>
        <w:ind w:firstLine="6490" w:firstLineChars="2950"/>
        <w:jc w:val="center"/>
        <w:rPr>
          <w:rFonts w:hint="eastAsia" w:ascii="楷体" w:hAnsi="楷体" w:eastAsia="楷体" w:cs="楷体"/>
          <w:sz w:val="22"/>
          <w:szCs w:val="24"/>
          <w:lang w:val="en-US" w:eastAsia="zh-CN"/>
        </w:rPr>
      </w:pPr>
      <w:r>
        <w:rPr>
          <w:rFonts w:hint="eastAsia" w:ascii="楷体" w:hAnsi="楷体" w:eastAsia="楷体" w:cs="楷体"/>
          <w:sz w:val="22"/>
          <w:szCs w:val="24"/>
        </w:rPr>
        <w:t xml:space="preserve">    单位负责人（签字）：</w:t>
      </w:r>
      <w:r>
        <w:rPr>
          <w:rFonts w:hint="eastAsia" w:ascii="楷体" w:hAnsi="楷体" w:eastAsia="楷体" w:cs="楷体"/>
          <w:sz w:val="22"/>
          <w:szCs w:val="24"/>
          <w:lang w:val="en-US" w:eastAsia="zh-CN"/>
        </w:rPr>
        <w:t>吴凌</w:t>
      </w:r>
    </w:p>
    <w:p>
      <w:pPr>
        <w:spacing w:line="320" w:lineRule="exact"/>
        <w:ind w:firstLine="6270" w:firstLineChars="2850"/>
        <w:jc w:val="center"/>
        <w:rPr>
          <w:rFonts w:hint="eastAsia" w:ascii="楷体" w:hAnsi="楷体" w:eastAsia="楷体" w:cs="楷体"/>
          <w:sz w:val="22"/>
          <w:szCs w:val="24"/>
        </w:rPr>
        <w:sectPr>
          <w:pgSz w:w="16838" w:h="11906" w:orient="landscape"/>
          <w:pgMar w:top="1800" w:right="1440" w:bottom="1800" w:left="1440" w:header="851" w:footer="992" w:gutter="0"/>
          <w:pgNumType w:fmt="numberInDash"/>
          <w:cols w:space="720" w:num="1"/>
          <w:docGrid w:type="lines" w:linePitch="312" w:charSpace="0"/>
        </w:sectPr>
      </w:pPr>
      <w:r>
        <w:rPr>
          <w:rFonts w:hint="eastAsia" w:ascii="楷体" w:hAnsi="楷体" w:eastAsia="楷体" w:cs="楷体"/>
          <w:sz w:val="22"/>
          <w:szCs w:val="24"/>
        </w:rPr>
        <w:t xml:space="preserve">    填表日期：  </w:t>
      </w:r>
      <w:r>
        <w:rPr>
          <w:rFonts w:hint="eastAsia" w:ascii="楷体" w:hAnsi="楷体" w:eastAsia="楷体" w:cs="楷体"/>
          <w:sz w:val="22"/>
          <w:szCs w:val="24"/>
          <w:lang w:val="en-US" w:eastAsia="zh-CN"/>
        </w:rPr>
        <w:t>2024</w:t>
      </w:r>
      <w:r>
        <w:rPr>
          <w:rFonts w:hint="eastAsia" w:ascii="楷体" w:hAnsi="楷体" w:eastAsia="楷体" w:cs="楷体"/>
          <w:sz w:val="22"/>
          <w:szCs w:val="24"/>
        </w:rPr>
        <w:t>年 </w:t>
      </w:r>
      <w:r>
        <w:rPr>
          <w:rFonts w:hint="eastAsia" w:ascii="楷体" w:hAnsi="楷体" w:eastAsia="楷体" w:cs="楷体"/>
          <w:sz w:val="22"/>
          <w:szCs w:val="24"/>
          <w:lang w:val="en-US" w:eastAsia="zh-CN"/>
        </w:rPr>
        <w:t>4</w:t>
      </w:r>
      <w:r>
        <w:rPr>
          <w:rFonts w:hint="eastAsia" w:ascii="楷体" w:hAnsi="楷体" w:eastAsia="楷体" w:cs="楷体"/>
          <w:sz w:val="22"/>
          <w:szCs w:val="24"/>
        </w:rPr>
        <w:t>月 </w:t>
      </w:r>
      <w:r>
        <w:rPr>
          <w:rFonts w:hint="eastAsia" w:ascii="楷体" w:hAnsi="楷体" w:eastAsia="楷体" w:cs="楷体"/>
          <w:sz w:val="22"/>
          <w:szCs w:val="24"/>
          <w:lang w:val="en-US" w:eastAsia="zh-CN"/>
        </w:rPr>
        <w:t>11</w:t>
      </w:r>
      <w:bookmarkStart w:id="0" w:name="_GoBack"/>
      <w:bookmarkEnd w:id="0"/>
      <w:r>
        <w:rPr>
          <w:rFonts w:hint="eastAsia" w:ascii="楷体" w:hAnsi="楷体" w:eastAsia="楷体" w:cs="楷体"/>
          <w:sz w:val="22"/>
          <w:szCs w:val="24"/>
        </w:rPr>
        <w:t>日</w:t>
      </w:r>
    </w:p>
    <w:p>
      <w:pPr>
        <w:spacing w:line="320" w:lineRule="exact"/>
        <w:ind w:firstLine="6270" w:firstLineChars="2850"/>
        <w:jc w:val="center"/>
        <w:rPr>
          <w:rFonts w:hint="eastAsia" w:ascii="楷体" w:hAnsi="楷体" w:eastAsia="楷体" w:cs="楷体"/>
          <w:sz w:val="22"/>
          <w:szCs w:val="24"/>
        </w:rPr>
      </w:pPr>
    </w:p>
    <w:p>
      <w:pPr>
        <w:spacing w:line="400" w:lineRule="exact"/>
        <w:ind w:left="0" w:leftChars="0" w:firstLine="0" w:firstLineChars="0"/>
        <w:jc w:val="left"/>
      </w:pPr>
    </w:p>
    <w:sectPr>
      <w:pgSz w:w="11906" w:h="16838"/>
      <w:pgMar w:top="1440" w:right="1689" w:bottom="1440" w:left="1689"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NzhjYzU4ZTBkNTlmMjNhNmU0NThlYTk3YjE3MGMifQ=="/>
  </w:docVars>
  <w:rsids>
    <w:rsidRoot w:val="00000000"/>
    <w:rsid w:val="2E493DF6"/>
    <w:rsid w:val="37732970"/>
    <w:rsid w:val="459C4382"/>
    <w:rsid w:val="4E997517"/>
    <w:rsid w:val="7634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1"/>
    <w:pPr>
      <w:autoSpaceDE w:val="0"/>
      <w:autoSpaceDN w:val="0"/>
      <w:jc w:val="left"/>
    </w:pPr>
    <w:rPr>
      <w:rFonts w:ascii="仿宋_GB2312" w:hAnsi="仿宋_GB2312" w:eastAsia="仿宋_GB2312" w:cs="仿宋_GB2312"/>
      <w:kern w:val="0"/>
      <w:sz w:val="32"/>
      <w:szCs w:val="32"/>
      <w:lang w:val="zh-CN" w:bidi="zh-CN"/>
    </w:rPr>
  </w:style>
  <w:style w:type="paragraph" w:styleId="3">
    <w:name w:val="footer"/>
    <w:basedOn w:val="1"/>
    <w:autoRedefine/>
    <w:qFormat/>
    <w:uiPriority w:val="0"/>
    <w:pPr>
      <w:tabs>
        <w:tab w:val="center" w:pos="4153"/>
        <w:tab w:val="right" w:pos="8306"/>
      </w:tabs>
      <w:snapToGrid w:val="0"/>
      <w:spacing w:line="240" w:lineRule="atLeast"/>
      <w:jc w:val="left"/>
    </w:pPr>
    <w:rPr>
      <w:sz w:val="18"/>
      <w:szCs w:val="18"/>
    </w:rPr>
  </w:style>
  <w:style w:type="paragraph" w:styleId="4">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7">
    <w:name w:val="Strong"/>
    <w:autoRedefine/>
    <w:qFormat/>
    <w:uiPriority w:val="0"/>
    <w:rPr>
      <w:b/>
      <w:bCs/>
    </w:rPr>
  </w:style>
  <w:style w:type="character" w:styleId="8">
    <w:name w:val="page number"/>
    <w:basedOn w:val="6"/>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2024-04-10T00:32:00Z</dcterms:created>
  <dc:creator>Administrator</dc:creator>
  <cp:lastModifiedBy>呆头呆脑の小豬</cp:lastModifiedBy>
  <dcterms:modified xsi:type="dcterms:W3CDTF">2024-04-12T03:41:57Z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1AB7709B3C1444349ECCE6DD8CBB80BE_12</vt:lpwstr>
  </property>
</Properties>
</file>